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7978C" w14:textId="28F9D941" w:rsidR="004272FE" w:rsidRDefault="004272FE" w:rsidP="004272FE">
      <w:pPr>
        <w:pStyle w:val="Header"/>
        <w:pBdr>
          <w:bottom w:val="single" w:sz="4" w:space="1" w:color="auto"/>
        </w:pBdr>
        <w:jc w:val="center"/>
        <w:rPr>
          <w:rFonts w:ascii="Cambria" w:hAnsi="Cambria" w:cs="Arial-BoldMT"/>
          <w:b/>
          <w:bCs/>
          <w:color w:val="auto"/>
          <w:szCs w:val="22"/>
        </w:rPr>
      </w:pPr>
      <w:r w:rsidRPr="004272FE">
        <w:rPr>
          <w:rFonts w:ascii="Cambria" w:hAnsi="Cambria" w:cs="Arial-BoldMT"/>
          <w:b/>
          <w:bCs/>
          <w:noProof/>
          <w:color w:val="auto"/>
          <w:szCs w:val="22"/>
        </w:rPr>
        <mc:AlternateContent>
          <mc:Choice Requires="wps">
            <w:drawing>
              <wp:anchor distT="0" distB="0" distL="114300" distR="114300" simplePos="0" relativeHeight="251659264" behindDoc="0" locked="0" layoutInCell="1" allowOverlap="1" wp14:anchorId="14106590" wp14:editId="64121F74">
                <wp:simplePos x="0" y="0"/>
                <wp:positionH relativeFrom="column">
                  <wp:posOffset>0</wp:posOffset>
                </wp:positionH>
                <wp:positionV relativeFrom="paragraph">
                  <wp:posOffset>61595</wp:posOffset>
                </wp:positionV>
                <wp:extent cx="6667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4DFD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85pt" to="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" strokecolor="black [3213]" strokeweight=".5pt">
                <v:stroke joinstyle="miter"/>
              </v:line>
            </w:pict>
          </mc:Fallback>
        </mc:AlternateContent>
      </w:r>
      <w:r>
        <w:rPr>
          <w:rFonts w:ascii="Cambria" w:hAnsi="Cambria" w:cs="Arial-BoldMT"/>
          <w:b/>
          <w:bCs/>
          <w:color w:val="auto"/>
          <w:szCs w:val="22"/>
        </w:rPr>
        <w:tab/>
      </w:r>
      <w:bookmarkStart w:id="0" w:name="_Hlk7076761"/>
    </w:p>
    <w:p w14:paraId="7F9D90AD" w14:textId="77777777" w:rsidR="004272FE" w:rsidRDefault="004272FE" w:rsidP="004272FE">
      <w:pPr>
        <w:pStyle w:val="Header"/>
        <w:pBdr>
          <w:bottom w:val="single" w:sz="4" w:space="1" w:color="auto"/>
        </w:pBdr>
        <w:jc w:val="center"/>
        <w:rPr>
          <w:rFonts w:ascii="Cambria" w:hAnsi="Cambria" w:cs="Arial-BoldMT"/>
          <w:b/>
          <w:bCs/>
          <w:color w:val="auto"/>
          <w:szCs w:val="22"/>
        </w:rPr>
      </w:pPr>
      <w:r w:rsidRPr="00E86E4A">
        <w:rPr>
          <w:rFonts w:ascii="Cambria" w:hAnsi="Cambria" w:cs="Arial-BoldMT"/>
          <w:b/>
          <w:bCs/>
          <w:color w:val="auto"/>
          <w:szCs w:val="22"/>
        </w:rPr>
        <w:t xml:space="preserve">EXPRESSION OF INTEREST (EOI) UNDER </w:t>
      </w:r>
      <w:r>
        <w:rPr>
          <w:rFonts w:ascii="Cambria" w:hAnsi="Cambria" w:cs="Arial-BoldMT"/>
          <w:b/>
          <w:bCs/>
          <w:color w:val="auto"/>
          <w:szCs w:val="22"/>
        </w:rPr>
        <w:t>INTERNATIONAL</w:t>
      </w:r>
      <w:r w:rsidRPr="00E86E4A">
        <w:rPr>
          <w:rFonts w:ascii="Cambria" w:hAnsi="Cambria" w:cs="Arial-BoldMT"/>
          <w:b/>
          <w:bCs/>
          <w:color w:val="auto"/>
          <w:szCs w:val="22"/>
        </w:rPr>
        <w:t xml:space="preserve"> COMPETE</w:t>
      </w:r>
      <w:r>
        <w:rPr>
          <w:rFonts w:ascii="Cambria" w:hAnsi="Cambria" w:cs="Arial-BoldMT"/>
          <w:b/>
          <w:bCs/>
          <w:color w:val="auto"/>
          <w:szCs w:val="22"/>
        </w:rPr>
        <w:t>TIVE BIDDING (I</w:t>
      </w:r>
      <w:r w:rsidRPr="00E86E4A">
        <w:rPr>
          <w:rFonts w:ascii="Cambria" w:hAnsi="Cambria" w:cs="Arial-BoldMT"/>
          <w:b/>
          <w:bCs/>
          <w:color w:val="auto"/>
          <w:szCs w:val="22"/>
        </w:rPr>
        <w:t xml:space="preserve">CB) BASIS FOR </w:t>
      </w:r>
      <w:r>
        <w:rPr>
          <w:rFonts w:ascii="Cambria" w:hAnsi="Cambria" w:cs="Arial-BoldMT"/>
          <w:b/>
          <w:bCs/>
          <w:color w:val="auto"/>
          <w:szCs w:val="22"/>
        </w:rPr>
        <w:t xml:space="preserve">SUPPLY </w:t>
      </w:r>
      <w:r w:rsidRPr="007419C7">
        <w:rPr>
          <w:rFonts w:ascii="Cambria" w:hAnsi="Cambria" w:cs="Arial-BoldMT"/>
          <w:b/>
          <w:bCs/>
          <w:color w:val="auto"/>
          <w:szCs w:val="22"/>
        </w:rPr>
        <w:t xml:space="preserve">OF </w:t>
      </w:r>
      <w:r>
        <w:rPr>
          <w:rFonts w:ascii="Cambria" w:hAnsi="Cambria" w:cs="Arial-BoldMT"/>
          <w:b/>
          <w:bCs/>
          <w:color w:val="auto"/>
          <w:szCs w:val="22"/>
        </w:rPr>
        <w:t xml:space="preserve">GAS </w:t>
      </w:r>
      <w:r w:rsidRPr="007419C7">
        <w:rPr>
          <w:rFonts w:ascii="Cambria" w:hAnsi="Cambria" w:cs="Arial-BoldMT"/>
          <w:b/>
          <w:bCs/>
          <w:color w:val="auto"/>
          <w:szCs w:val="22"/>
        </w:rPr>
        <w:t xml:space="preserve">ENGINE DRIVEN </w:t>
      </w:r>
      <w:r w:rsidRPr="00FE6F39">
        <w:rPr>
          <w:rFonts w:ascii="Cambria" w:hAnsi="Cambria" w:cs="Arial-BoldMT"/>
          <w:b/>
          <w:bCs/>
          <w:color w:val="auto"/>
          <w:szCs w:val="22"/>
        </w:rPr>
        <w:t xml:space="preserve">MULTISTAGE CENTRIFUGAL PUMP </w:t>
      </w:r>
      <w:r>
        <w:rPr>
          <w:rFonts w:ascii="Cambria" w:hAnsi="Cambria" w:cs="Arial-BoldMT"/>
          <w:b/>
          <w:bCs/>
          <w:color w:val="auto"/>
          <w:szCs w:val="22"/>
        </w:rPr>
        <w:t xml:space="preserve">AT </w:t>
      </w:r>
      <w:r w:rsidRPr="00E86E4A">
        <w:rPr>
          <w:rFonts w:ascii="Cambria" w:hAnsi="Cambria" w:cs="Arial-BoldMT"/>
          <w:b/>
          <w:bCs/>
          <w:color w:val="auto"/>
          <w:szCs w:val="22"/>
        </w:rPr>
        <w:t>CB/OS-2 BLOCK</w:t>
      </w:r>
    </w:p>
    <w:p w14:paraId="5AC42D3D" w14:textId="77777777" w:rsidR="004272FE" w:rsidRPr="00E86E4A" w:rsidRDefault="004272FE" w:rsidP="004272FE">
      <w:pPr>
        <w:pStyle w:val="Header"/>
        <w:pBdr>
          <w:bottom w:val="single" w:sz="4" w:space="1" w:color="auto"/>
        </w:pBdr>
        <w:jc w:val="center"/>
        <w:rPr>
          <w:rFonts w:ascii="Cambria" w:hAnsi="Cambria" w:cs="Arial-BoldMT"/>
          <w:b/>
          <w:bCs/>
          <w:color w:val="auto"/>
          <w:szCs w:val="22"/>
        </w:rPr>
      </w:pPr>
    </w:p>
    <w:bookmarkEnd w:id="0"/>
    <w:p w14:paraId="330868AF" w14:textId="77777777" w:rsidR="004272FE" w:rsidRPr="00E86E4A" w:rsidRDefault="004272FE" w:rsidP="004272FE">
      <w:pPr>
        <w:pStyle w:val="Header"/>
        <w:tabs>
          <w:tab w:val="left" w:pos="-270"/>
        </w:tabs>
        <w:ind w:left="-180" w:right="-360"/>
        <w:jc w:val="center"/>
        <w:rPr>
          <w:rFonts w:ascii="Cambria" w:hAnsi="Cambria" w:cs="Arial-BoldMT"/>
          <w:b/>
          <w:bCs/>
          <w:color w:val="auto"/>
          <w:szCs w:val="22"/>
        </w:rPr>
      </w:pPr>
    </w:p>
    <w:p w14:paraId="64A4CE26" w14:textId="768D1840" w:rsidR="004272FE" w:rsidRPr="00E86E4A" w:rsidRDefault="004272FE" w:rsidP="004272FE">
      <w:pPr>
        <w:tabs>
          <w:tab w:val="left" w:pos="900"/>
        </w:tabs>
        <w:autoSpaceDE w:val="0"/>
        <w:autoSpaceDN w:val="0"/>
        <w:adjustRightInd w:val="0"/>
        <w:jc w:val="both"/>
        <w:rPr>
          <w:rFonts w:ascii="Cambria" w:hAnsi="Cambria" w:cs="Calibri"/>
          <w:b/>
          <w:color w:val="auto"/>
          <w:szCs w:val="22"/>
        </w:rPr>
      </w:pPr>
      <w:r w:rsidRPr="00E86E4A">
        <w:rPr>
          <w:rFonts w:ascii="Cambria" w:hAnsi="Cambria" w:cs="Calibri"/>
          <w:color w:val="auto"/>
          <w:szCs w:val="22"/>
        </w:rPr>
        <w:t>Cairn Oil &amp; Gas, Vedanta Limited, (“VL”), is the Operator of CB/OS-2 block on behalf of itself and its joint venture partners ONGC Limited and Tata Petrodyne Limited. The CB/OS-2 Block is located on the south west coast in the state of Gujarat, India.</w:t>
      </w:r>
    </w:p>
    <w:p w14:paraId="21857A13" w14:textId="77777777" w:rsidR="004272FE" w:rsidRPr="00E86E4A" w:rsidRDefault="004272FE" w:rsidP="004272FE">
      <w:pPr>
        <w:tabs>
          <w:tab w:val="left" w:pos="900"/>
        </w:tabs>
        <w:autoSpaceDE w:val="0"/>
        <w:autoSpaceDN w:val="0"/>
        <w:adjustRightInd w:val="0"/>
        <w:ind w:left="900"/>
        <w:jc w:val="both"/>
        <w:rPr>
          <w:rFonts w:ascii="Cambria" w:hAnsi="Cambria" w:cs="Calibri"/>
          <w:color w:val="auto"/>
          <w:szCs w:val="22"/>
        </w:rPr>
      </w:pPr>
    </w:p>
    <w:p w14:paraId="18A8DE75" w14:textId="77777777" w:rsidR="004272FE" w:rsidRDefault="004272FE" w:rsidP="004272FE">
      <w:pPr>
        <w:tabs>
          <w:tab w:val="left" w:pos="900"/>
        </w:tabs>
        <w:autoSpaceDE w:val="0"/>
        <w:autoSpaceDN w:val="0"/>
        <w:adjustRightInd w:val="0"/>
        <w:jc w:val="both"/>
        <w:rPr>
          <w:rFonts w:ascii="Cambria" w:hAnsi="Cambria" w:cs="Calibri"/>
          <w:color w:val="auto"/>
          <w:szCs w:val="22"/>
        </w:rPr>
      </w:pPr>
      <w:r w:rsidRPr="00E86E4A">
        <w:rPr>
          <w:rFonts w:ascii="Cambria" w:hAnsi="Cambria" w:cs="Calibri"/>
          <w:color w:val="auto"/>
          <w:szCs w:val="22"/>
        </w:rPr>
        <w:t xml:space="preserve">VL on behalf of the JV partners invites reputed Vendors (both Indian and International) to express their interest to participate in </w:t>
      </w:r>
      <w:r>
        <w:rPr>
          <w:rFonts w:ascii="Cambria" w:hAnsi="Cambria" w:cs="Calibri"/>
          <w:color w:val="auto"/>
          <w:szCs w:val="22"/>
        </w:rPr>
        <w:t>International Competitive Bidding Process (“I</w:t>
      </w:r>
      <w:r w:rsidRPr="00E86E4A">
        <w:rPr>
          <w:rFonts w:ascii="Cambria" w:hAnsi="Cambria" w:cs="Calibri"/>
          <w:color w:val="auto"/>
          <w:szCs w:val="22"/>
        </w:rPr>
        <w:t xml:space="preserve">CB”) with capabilities </w:t>
      </w:r>
      <w:r>
        <w:rPr>
          <w:rFonts w:ascii="Cambria" w:hAnsi="Cambria" w:cs="Calibri"/>
          <w:color w:val="auto"/>
          <w:szCs w:val="22"/>
        </w:rPr>
        <w:t xml:space="preserve">to design, manufacture and supply </w:t>
      </w:r>
      <w:r w:rsidRPr="003D0594">
        <w:rPr>
          <w:rFonts w:ascii="Cambria" w:hAnsi="Cambria" w:cs="Calibri"/>
          <w:color w:val="auto"/>
          <w:szCs w:val="22"/>
        </w:rPr>
        <w:t>gas/diesel engine driven multistage gas compressor/</w:t>
      </w:r>
      <w:r>
        <w:rPr>
          <w:rFonts w:ascii="Cambria" w:hAnsi="Cambria" w:cs="Calibri"/>
          <w:color w:val="auto"/>
          <w:szCs w:val="22"/>
        </w:rPr>
        <w:t xml:space="preserve"> m</w:t>
      </w:r>
      <w:r w:rsidRPr="003D0594">
        <w:rPr>
          <w:rFonts w:ascii="Cambria" w:hAnsi="Cambria" w:cs="Calibri"/>
          <w:color w:val="auto"/>
          <w:szCs w:val="22"/>
        </w:rPr>
        <w:t>ultistage centrifugal pump</w:t>
      </w:r>
      <w:r>
        <w:rPr>
          <w:rFonts w:ascii="Cambria" w:hAnsi="Cambria" w:cs="Calibri"/>
          <w:color w:val="auto"/>
          <w:szCs w:val="22"/>
        </w:rPr>
        <w:t>.</w:t>
      </w:r>
    </w:p>
    <w:p w14:paraId="216AE0C8" w14:textId="77777777" w:rsidR="004272FE" w:rsidRPr="00E86E4A" w:rsidRDefault="004272FE" w:rsidP="004272FE">
      <w:pPr>
        <w:tabs>
          <w:tab w:val="left" w:pos="900"/>
        </w:tabs>
        <w:autoSpaceDE w:val="0"/>
        <w:autoSpaceDN w:val="0"/>
        <w:adjustRightInd w:val="0"/>
        <w:jc w:val="both"/>
        <w:rPr>
          <w:rFonts w:ascii="Cambria" w:hAnsi="Cambria" w:cs="Calibri"/>
          <w:color w:val="auto"/>
          <w:szCs w:val="22"/>
        </w:rPr>
      </w:pPr>
      <w:r w:rsidRPr="00E86E4A">
        <w:rPr>
          <w:rFonts w:ascii="Cambria" w:hAnsi="Cambria" w:cs="Calibri"/>
          <w:color w:val="auto"/>
          <w:szCs w:val="22"/>
        </w:rPr>
        <w:t xml:space="preserve"> </w:t>
      </w:r>
    </w:p>
    <w:p w14:paraId="1C3E2DED" w14:textId="1DE85586" w:rsidR="004272FE" w:rsidRPr="00FF473A" w:rsidRDefault="00137F5E" w:rsidP="004272FE">
      <w:pPr>
        <w:tabs>
          <w:tab w:val="left" w:pos="900"/>
        </w:tabs>
        <w:autoSpaceDE w:val="0"/>
        <w:autoSpaceDN w:val="0"/>
        <w:adjustRightInd w:val="0"/>
        <w:jc w:val="both"/>
        <w:rPr>
          <w:rFonts w:ascii="Cambria" w:hAnsi="Cambria" w:cs="Calibri"/>
          <w:b/>
          <w:color w:val="auto"/>
          <w:szCs w:val="22"/>
        </w:rPr>
      </w:pPr>
      <w:r w:rsidRPr="00E86E4A">
        <w:rPr>
          <w:rFonts w:ascii="Cambria" w:hAnsi="Cambria" w:cs="Calibri"/>
          <w:color w:val="auto"/>
          <w:szCs w:val="22"/>
        </w:rPr>
        <w:t>To</w:t>
      </w:r>
      <w:r w:rsidR="004272FE" w:rsidRPr="00E86E4A">
        <w:rPr>
          <w:rFonts w:ascii="Cambria" w:hAnsi="Cambria" w:cs="Calibri"/>
          <w:color w:val="auto"/>
          <w:szCs w:val="22"/>
        </w:rPr>
        <w:t xml:space="preserve"> </w:t>
      </w:r>
      <w:r w:rsidR="004272FE">
        <w:rPr>
          <w:rFonts w:ascii="Cambria" w:hAnsi="Cambria" w:cs="Calibri"/>
          <w:color w:val="auto"/>
          <w:szCs w:val="22"/>
        </w:rPr>
        <w:t>sustain current production</w:t>
      </w:r>
      <w:r w:rsidR="004272FE" w:rsidRPr="00E86E4A">
        <w:rPr>
          <w:rFonts w:ascii="Cambria" w:hAnsi="Cambria" w:cs="Calibri"/>
          <w:color w:val="auto"/>
          <w:szCs w:val="22"/>
        </w:rPr>
        <w:t xml:space="preserve">, company intends to </w:t>
      </w:r>
      <w:r w:rsidR="004272FE" w:rsidRPr="007419C7">
        <w:rPr>
          <w:rFonts w:ascii="Cambria" w:hAnsi="Cambria" w:cs="Calibri"/>
          <w:b/>
          <w:color w:val="auto"/>
          <w:szCs w:val="22"/>
        </w:rPr>
        <w:t>provide artificial lift facility on the</w:t>
      </w:r>
      <w:r w:rsidR="004272FE">
        <w:rPr>
          <w:rFonts w:ascii="Cambria" w:hAnsi="Cambria" w:cs="Calibri"/>
          <w:color w:val="auto"/>
          <w:szCs w:val="22"/>
        </w:rPr>
        <w:t xml:space="preserve"> </w:t>
      </w:r>
      <w:r w:rsidR="004272FE" w:rsidRPr="00090BD9">
        <w:rPr>
          <w:rFonts w:ascii="Cambria" w:hAnsi="Cambria" w:cs="Calibri"/>
          <w:b/>
          <w:color w:val="auto"/>
          <w:szCs w:val="22"/>
        </w:rPr>
        <w:t>existing offshore platform</w:t>
      </w:r>
      <w:r w:rsidR="004272FE">
        <w:rPr>
          <w:rFonts w:ascii="Cambria" w:hAnsi="Cambria" w:cs="Calibri"/>
          <w:color w:val="auto"/>
          <w:szCs w:val="22"/>
        </w:rPr>
        <w:t>. As part of this augmentation, engine driven pumping skid to be supplied.</w:t>
      </w:r>
    </w:p>
    <w:p w14:paraId="1874ABB3" w14:textId="77777777" w:rsidR="004272FE" w:rsidRPr="00E96BC7" w:rsidRDefault="004272FE" w:rsidP="004272FE">
      <w:pPr>
        <w:tabs>
          <w:tab w:val="left" w:pos="900"/>
        </w:tabs>
        <w:autoSpaceDE w:val="0"/>
        <w:autoSpaceDN w:val="0"/>
        <w:adjustRightInd w:val="0"/>
        <w:ind w:left="720"/>
        <w:rPr>
          <w:rFonts w:ascii="Cambria" w:hAnsi="Cambria" w:cs="Calibri"/>
          <w:b/>
          <w:color w:val="auto"/>
          <w:szCs w:val="22"/>
        </w:rPr>
      </w:pPr>
    </w:p>
    <w:p w14:paraId="4EEBBA42" w14:textId="77777777" w:rsidR="004272FE" w:rsidRDefault="004272FE" w:rsidP="004272FE">
      <w:pPr>
        <w:tabs>
          <w:tab w:val="left" w:pos="900"/>
        </w:tabs>
        <w:autoSpaceDE w:val="0"/>
        <w:autoSpaceDN w:val="0"/>
        <w:adjustRightInd w:val="0"/>
        <w:jc w:val="both"/>
        <w:rPr>
          <w:rFonts w:ascii="Cambria" w:hAnsi="Cambria" w:cs="Calibri"/>
          <w:color w:val="auto"/>
          <w:szCs w:val="22"/>
        </w:rPr>
      </w:pPr>
      <w:r w:rsidRPr="00090BD9">
        <w:rPr>
          <w:rFonts w:ascii="Cambria" w:hAnsi="Cambria" w:cs="Calibri"/>
          <w:color w:val="auto"/>
          <w:szCs w:val="22"/>
        </w:rPr>
        <w:t xml:space="preserve">Scope under this supply shall include design, detail engineering, procurement, manufacturing, assembly, integration, testing, supervision &amp; support service during installation, field testing and commissioning </w:t>
      </w:r>
      <w:r>
        <w:rPr>
          <w:rFonts w:ascii="Cambria" w:hAnsi="Cambria" w:cs="Calibri"/>
          <w:color w:val="auto"/>
          <w:szCs w:val="22"/>
        </w:rPr>
        <w:t xml:space="preserve">of pump skid </w:t>
      </w:r>
      <w:r w:rsidRPr="00090BD9">
        <w:rPr>
          <w:rFonts w:ascii="Cambria" w:hAnsi="Cambria" w:cs="Calibri"/>
          <w:color w:val="auto"/>
          <w:szCs w:val="22"/>
        </w:rPr>
        <w:t>for artificial lift requirement, in compliance to applicable local statutory regulations &amp; applicable industry standards such as API, OISD etc.</w:t>
      </w:r>
    </w:p>
    <w:p w14:paraId="445553B6" w14:textId="77777777" w:rsidR="004272FE" w:rsidRDefault="004272FE" w:rsidP="004272FE">
      <w:pPr>
        <w:tabs>
          <w:tab w:val="left" w:pos="900"/>
        </w:tabs>
        <w:autoSpaceDE w:val="0"/>
        <w:autoSpaceDN w:val="0"/>
        <w:adjustRightInd w:val="0"/>
        <w:jc w:val="both"/>
        <w:rPr>
          <w:rFonts w:ascii="Cambria" w:hAnsi="Cambria" w:cs="Calibri"/>
          <w:color w:val="auto"/>
          <w:szCs w:val="22"/>
        </w:rPr>
      </w:pPr>
    </w:p>
    <w:p w14:paraId="18794FE0" w14:textId="77777777" w:rsidR="004272FE" w:rsidRPr="00A56EE4" w:rsidRDefault="004272FE" w:rsidP="004272FE">
      <w:pPr>
        <w:tabs>
          <w:tab w:val="left" w:pos="900"/>
        </w:tabs>
        <w:autoSpaceDE w:val="0"/>
        <w:autoSpaceDN w:val="0"/>
        <w:adjustRightInd w:val="0"/>
        <w:jc w:val="both"/>
        <w:rPr>
          <w:rFonts w:ascii="Cambria" w:hAnsi="Cambria" w:cs="Calibri"/>
          <w:b/>
          <w:bCs/>
          <w:color w:val="auto"/>
          <w:szCs w:val="22"/>
        </w:rPr>
      </w:pPr>
      <w:r w:rsidRPr="00A56EE4">
        <w:rPr>
          <w:rFonts w:ascii="Cambria" w:hAnsi="Cambria" w:cs="Calibri"/>
          <w:b/>
          <w:bCs/>
          <w:color w:val="auto"/>
          <w:szCs w:val="22"/>
        </w:rPr>
        <w:t xml:space="preserve">Only those Supplier/Packager of skid who possess substantial and proven track records of supplying such equipment in Oil &amp; Gas / Refinery / Fertilizer Industry and meeting the “Specific Pre-Qualification Criteria” defined below shall respond to this EOI. </w:t>
      </w:r>
    </w:p>
    <w:p w14:paraId="00FA074A" w14:textId="77777777" w:rsidR="004272FE" w:rsidRPr="00E86E4A" w:rsidRDefault="004272FE" w:rsidP="004272FE">
      <w:pPr>
        <w:pStyle w:val="NormalWeb"/>
        <w:jc w:val="both"/>
        <w:rPr>
          <w:b/>
        </w:rPr>
      </w:pPr>
      <w:bookmarkStart w:id="1" w:name="_Hlk64023412"/>
      <w:r w:rsidRPr="00E86E4A">
        <w:rPr>
          <w:rFonts w:ascii="Cambria" w:eastAsia="Times New Roman" w:hAnsi="Cambria" w:cs="Calibri"/>
          <w:b/>
          <w:szCs w:val="22"/>
          <w:lang w:val="en-GB"/>
        </w:rPr>
        <w:t>TECHNICAL PRE-QUALIFICATION CRITERIA</w:t>
      </w:r>
      <w:bookmarkEnd w:id="1"/>
    </w:p>
    <w:p w14:paraId="12F65D3B" w14:textId="77777777" w:rsidR="004272FE" w:rsidRDefault="004272FE" w:rsidP="004272FE">
      <w:pPr>
        <w:pStyle w:val="NormalWeb"/>
        <w:jc w:val="both"/>
        <w:rPr>
          <w:rFonts w:ascii="Cambria" w:eastAsia="Times New Roman" w:hAnsi="Cambria" w:cs="Calibri"/>
          <w:sz w:val="22"/>
          <w:szCs w:val="22"/>
          <w:lang w:val="en-GB"/>
        </w:rPr>
      </w:pPr>
      <w:r w:rsidRPr="00A57863">
        <w:rPr>
          <w:rFonts w:ascii="Cambria" w:eastAsia="Times New Roman" w:hAnsi="Cambria" w:cs="Calibri"/>
          <w:sz w:val="22"/>
          <w:szCs w:val="22"/>
          <w:lang w:val="en-GB"/>
        </w:rPr>
        <w:t>The</w:t>
      </w:r>
      <w:r>
        <w:rPr>
          <w:rFonts w:ascii="Cambria" w:eastAsia="Times New Roman" w:hAnsi="Cambria" w:cs="Calibri"/>
          <w:sz w:val="22"/>
          <w:szCs w:val="22"/>
          <w:lang w:val="en-GB"/>
        </w:rPr>
        <w:t xml:space="preserve"> </w:t>
      </w:r>
      <w:r w:rsidRPr="00A57863">
        <w:rPr>
          <w:rFonts w:ascii="Cambria" w:eastAsia="Times New Roman" w:hAnsi="Cambria" w:cs="Calibri"/>
          <w:sz w:val="22"/>
          <w:szCs w:val="22"/>
          <w:lang w:val="en-GB"/>
        </w:rPr>
        <w:t>Supplier</w:t>
      </w:r>
      <w:r w:rsidRPr="00F34EE6">
        <w:rPr>
          <w:rFonts w:ascii="Cambria" w:eastAsia="Times New Roman" w:hAnsi="Cambria" w:cs="Calibri"/>
          <w:sz w:val="22"/>
          <w:szCs w:val="22"/>
          <w:lang w:val="en-GB"/>
        </w:rPr>
        <w:t xml:space="preserve">/Packager </w:t>
      </w:r>
      <w:r w:rsidRPr="00A57863">
        <w:rPr>
          <w:rFonts w:ascii="Cambria" w:eastAsia="Times New Roman" w:hAnsi="Cambria" w:cs="Calibri"/>
          <w:sz w:val="22"/>
          <w:szCs w:val="22"/>
          <w:lang w:val="en-GB"/>
        </w:rPr>
        <w:t>or Leader of Consortium in the last 10 years should have successfully supplied at least one Skid mounted Natural Gas/Diesel Engine Driven (minimum 400 kW engine capacity) Multistage Gas Compressor/Multistage Centrifugal Pump with required auxiliaries as per applicable industry standards such as API, OISD etc.</w:t>
      </w:r>
    </w:p>
    <w:p w14:paraId="10634E85" w14:textId="77777777" w:rsidR="004272FE" w:rsidRDefault="004272FE" w:rsidP="004272FE">
      <w:pPr>
        <w:pStyle w:val="NormalWeb"/>
        <w:jc w:val="both"/>
        <w:rPr>
          <w:rFonts w:ascii="Cambria" w:hAnsi="Cambria"/>
          <w:sz w:val="22"/>
          <w:szCs w:val="22"/>
        </w:rPr>
      </w:pPr>
      <w:r w:rsidRPr="00E86E4A">
        <w:rPr>
          <w:rFonts w:ascii="Cambria" w:hAnsi="Cambria"/>
          <w:sz w:val="22"/>
          <w:szCs w:val="22"/>
        </w:rPr>
        <w:t xml:space="preserve">The </w:t>
      </w:r>
      <w:r>
        <w:rPr>
          <w:rFonts w:ascii="Cambria" w:hAnsi="Cambria"/>
          <w:sz w:val="22"/>
          <w:szCs w:val="22"/>
        </w:rPr>
        <w:t>10</w:t>
      </w:r>
      <w:r w:rsidRPr="00E86E4A">
        <w:rPr>
          <w:rFonts w:ascii="Cambria" w:hAnsi="Cambria"/>
          <w:sz w:val="22"/>
          <w:szCs w:val="22"/>
        </w:rPr>
        <w:t xml:space="preserve"> year</w:t>
      </w:r>
      <w:r>
        <w:rPr>
          <w:rFonts w:ascii="Cambria" w:hAnsi="Cambria"/>
          <w:sz w:val="22"/>
          <w:szCs w:val="22"/>
        </w:rPr>
        <w:t>s</w:t>
      </w:r>
      <w:r w:rsidRPr="00E86E4A">
        <w:rPr>
          <w:rFonts w:ascii="Cambria" w:hAnsi="Cambria"/>
          <w:sz w:val="22"/>
          <w:szCs w:val="22"/>
        </w:rPr>
        <w:t xml:space="preserve">’ time period mentioned above shall be reckoned from the date of issue of this EOI. </w:t>
      </w:r>
    </w:p>
    <w:p w14:paraId="4CC7F821" w14:textId="77777777" w:rsidR="004272FE" w:rsidRPr="00E86E4A" w:rsidRDefault="004272FE" w:rsidP="004272FE">
      <w:pPr>
        <w:pStyle w:val="NormalWeb"/>
        <w:jc w:val="both"/>
        <w:rPr>
          <w:rFonts w:ascii="Cambria" w:hAnsi="Cambria"/>
          <w:b/>
          <w:sz w:val="22"/>
          <w:szCs w:val="22"/>
        </w:rPr>
      </w:pPr>
      <w:r w:rsidRPr="00E86E4A">
        <w:rPr>
          <w:rFonts w:ascii="Cambria" w:hAnsi="Cambria"/>
          <w:b/>
          <w:sz w:val="22"/>
          <w:szCs w:val="22"/>
        </w:rPr>
        <w:t>FINANCIAL PRE-QUALIFICATION CRITERIA</w:t>
      </w:r>
    </w:p>
    <w:p w14:paraId="2E86E7D6" w14:textId="77777777" w:rsidR="004272FE" w:rsidRPr="00E86E4A" w:rsidRDefault="004272FE" w:rsidP="004272FE">
      <w:pPr>
        <w:pStyle w:val="NormalWeb"/>
        <w:jc w:val="both"/>
        <w:rPr>
          <w:rFonts w:ascii="Cambria" w:hAnsi="Cambria"/>
          <w:b/>
          <w:sz w:val="22"/>
          <w:szCs w:val="22"/>
        </w:rPr>
      </w:pPr>
      <w:r w:rsidRPr="00E86E4A">
        <w:rPr>
          <w:rFonts w:ascii="Cambria" w:hAnsi="Cambria"/>
          <w:b/>
          <w:sz w:val="22"/>
          <w:szCs w:val="22"/>
        </w:rPr>
        <w:t>Parameters to be considered for Pre-Qualification</w:t>
      </w:r>
    </w:p>
    <w:p w14:paraId="0878D6CF" w14:textId="77777777" w:rsidR="004272FE" w:rsidRPr="000F3CAD" w:rsidRDefault="004272FE" w:rsidP="004272FE">
      <w:pPr>
        <w:numPr>
          <w:ilvl w:val="0"/>
          <w:numId w:val="8"/>
        </w:numPr>
        <w:tabs>
          <w:tab w:val="left" w:pos="99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Turnover of the Supplier in each of the immediately preceding two financial years should be equal to or more than the estimated average annual Contract value.</w:t>
      </w:r>
    </w:p>
    <w:p w14:paraId="1ED5836A" w14:textId="77777777" w:rsidR="004272FE" w:rsidRPr="000F3CAD" w:rsidRDefault="004272FE" w:rsidP="004272FE">
      <w:pPr>
        <w:numPr>
          <w:ilvl w:val="0"/>
          <w:numId w:val="8"/>
        </w:numPr>
        <w:tabs>
          <w:tab w:val="left" w:pos="99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Positive Net worth in each of the immediately preceding two financial years.</w:t>
      </w:r>
    </w:p>
    <w:p w14:paraId="001F468A" w14:textId="77777777" w:rsidR="004272FE" w:rsidRPr="000F3CAD" w:rsidRDefault="004272FE" w:rsidP="004272FE">
      <w:pPr>
        <w:numPr>
          <w:ilvl w:val="0"/>
          <w:numId w:val="8"/>
        </w:numPr>
        <w:tabs>
          <w:tab w:val="left" w:pos="99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Liquidity ratio in each of the two preceding financial years shall not be less than 1.</w:t>
      </w:r>
    </w:p>
    <w:p w14:paraId="4AE1C51E" w14:textId="77777777" w:rsidR="004272FE" w:rsidRPr="00E86E4A" w:rsidRDefault="004272FE" w:rsidP="004272FE">
      <w:pPr>
        <w:tabs>
          <w:tab w:val="left" w:pos="990"/>
        </w:tabs>
        <w:autoSpaceDE w:val="0"/>
        <w:autoSpaceDN w:val="0"/>
        <w:adjustRightInd w:val="0"/>
        <w:ind w:left="990"/>
        <w:jc w:val="both"/>
        <w:rPr>
          <w:rFonts w:ascii="Cambria" w:hAnsi="Cambria" w:cs="Calibri"/>
          <w:color w:val="auto"/>
          <w:szCs w:val="22"/>
        </w:rPr>
      </w:pPr>
    </w:p>
    <w:p w14:paraId="5253F773" w14:textId="77777777" w:rsidR="004272FE" w:rsidRPr="00E86E4A" w:rsidRDefault="004272FE" w:rsidP="004272FE">
      <w:pPr>
        <w:autoSpaceDE w:val="0"/>
        <w:autoSpaceDN w:val="0"/>
        <w:adjustRightInd w:val="0"/>
        <w:rPr>
          <w:rFonts w:ascii="Cambria" w:hAnsi="Cambria" w:cs="Arial"/>
          <w:b/>
          <w:color w:val="auto"/>
          <w:szCs w:val="22"/>
        </w:rPr>
      </w:pPr>
      <w:r w:rsidRPr="00E86E4A">
        <w:rPr>
          <w:rFonts w:ascii="Cambria" w:hAnsi="Cambria" w:cs="Arial"/>
          <w:b/>
          <w:color w:val="auto"/>
          <w:szCs w:val="22"/>
        </w:rPr>
        <w:t>Vendors are requested to submit the following pre-qualification documents as a minimum:</w:t>
      </w:r>
    </w:p>
    <w:p w14:paraId="7A48E00C" w14:textId="77777777" w:rsidR="004272FE" w:rsidRPr="00E86E4A" w:rsidRDefault="004272FE" w:rsidP="004272FE">
      <w:pPr>
        <w:tabs>
          <w:tab w:val="left" w:pos="0"/>
        </w:tabs>
        <w:autoSpaceDE w:val="0"/>
        <w:autoSpaceDN w:val="0"/>
        <w:adjustRightInd w:val="0"/>
        <w:jc w:val="both"/>
        <w:rPr>
          <w:rFonts w:ascii="Cambria" w:hAnsi="Cambria" w:cs="Calibri"/>
          <w:color w:val="auto"/>
          <w:szCs w:val="22"/>
        </w:rPr>
      </w:pPr>
    </w:p>
    <w:p w14:paraId="58C8346E" w14:textId="77777777" w:rsidR="004272FE" w:rsidRPr="00E86E4A" w:rsidRDefault="004272FE" w:rsidP="004272FE">
      <w:pPr>
        <w:numPr>
          <w:ilvl w:val="0"/>
          <w:numId w:val="5"/>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Supplier</w:t>
      </w:r>
      <w:r w:rsidRPr="00E86E4A">
        <w:rPr>
          <w:rFonts w:ascii="Cambria" w:hAnsi="Cambria" w:cs="Calibri"/>
          <w:color w:val="auto"/>
          <w:szCs w:val="22"/>
        </w:rPr>
        <w:t>’s history / profile.</w:t>
      </w:r>
    </w:p>
    <w:p w14:paraId="13903468" w14:textId="77777777" w:rsidR="004272FE" w:rsidRDefault="004272FE" w:rsidP="004272FE">
      <w:pPr>
        <w:numPr>
          <w:ilvl w:val="0"/>
          <w:numId w:val="5"/>
        </w:numPr>
        <w:tabs>
          <w:tab w:val="left" w:pos="900"/>
        </w:tabs>
        <w:autoSpaceDE w:val="0"/>
        <w:autoSpaceDN w:val="0"/>
        <w:adjustRightInd w:val="0"/>
        <w:jc w:val="both"/>
        <w:rPr>
          <w:rFonts w:ascii="Cambria" w:hAnsi="Cambria" w:cs="Calibri"/>
          <w:color w:val="auto"/>
          <w:szCs w:val="22"/>
        </w:rPr>
      </w:pPr>
      <w:r w:rsidRPr="00F17C42">
        <w:rPr>
          <w:rFonts w:ascii="Cambria" w:hAnsi="Cambria" w:cs="Calibri"/>
          <w:color w:val="auto"/>
          <w:szCs w:val="22"/>
        </w:rPr>
        <w:lastRenderedPageBreak/>
        <w:t xml:space="preserve">Details of similar </w:t>
      </w:r>
      <w:r>
        <w:rPr>
          <w:rFonts w:ascii="Cambria" w:hAnsi="Cambria" w:cs="Calibri"/>
          <w:color w:val="auto"/>
          <w:szCs w:val="22"/>
        </w:rPr>
        <w:t>supply</w:t>
      </w:r>
      <w:r w:rsidRPr="00F17C42">
        <w:rPr>
          <w:rFonts w:ascii="Cambria" w:hAnsi="Cambria" w:cs="Calibri"/>
          <w:color w:val="auto"/>
          <w:szCs w:val="22"/>
        </w:rPr>
        <w:t xml:space="preserve"> </w:t>
      </w:r>
      <w:r>
        <w:rPr>
          <w:rFonts w:ascii="Cambria" w:hAnsi="Cambria" w:cs="Calibri"/>
          <w:color w:val="auto"/>
          <w:szCs w:val="22"/>
        </w:rPr>
        <w:t xml:space="preserve">in last 10 years with details of </w:t>
      </w:r>
      <w:r w:rsidRPr="00F17C42">
        <w:rPr>
          <w:rFonts w:ascii="Cambria" w:hAnsi="Cambria" w:cs="Calibri"/>
          <w:color w:val="auto"/>
          <w:szCs w:val="22"/>
        </w:rPr>
        <w:t>name of the Client, Client references along with contact details, Contractual Duration for each client with schedule - start and end dates, Performance records</w:t>
      </w:r>
      <w:r>
        <w:rPr>
          <w:rFonts w:ascii="Cambria" w:hAnsi="Cambria" w:cs="Calibri"/>
          <w:color w:val="auto"/>
          <w:szCs w:val="22"/>
        </w:rPr>
        <w:t xml:space="preserve"> (design vs actual)</w:t>
      </w:r>
      <w:r w:rsidRPr="00F17C42">
        <w:rPr>
          <w:rFonts w:ascii="Cambria" w:hAnsi="Cambria" w:cs="Calibri"/>
          <w:color w:val="auto"/>
          <w:szCs w:val="22"/>
        </w:rPr>
        <w:t>.</w:t>
      </w:r>
    </w:p>
    <w:p w14:paraId="1E374875" w14:textId="77777777" w:rsidR="004272FE" w:rsidRDefault="004272FE" w:rsidP="004272FE">
      <w:pPr>
        <w:numPr>
          <w:ilvl w:val="0"/>
          <w:numId w:val="5"/>
        </w:numPr>
        <w:tabs>
          <w:tab w:val="left" w:pos="900"/>
        </w:tabs>
        <w:autoSpaceDE w:val="0"/>
        <w:autoSpaceDN w:val="0"/>
        <w:adjustRightInd w:val="0"/>
        <w:jc w:val="both"/>
        <w:rPr>
          <w:rFonts w:ascii="Cambria" w:hAnsi="Cambria" w:cs="Calibri"/>
          <w:color w:val="auto"/>
          <w:szCs w:val="22"/>
        </w:rPr>
      </w:pPr>
      <w:r>
        <w:rPr>
          <w:rFonts w:ascii="Cambria" w:hAnsi="Cambria" w:cs="Calibri"/>
          <w:color w:val="auto"/>
          <w:szCs w:val="22"/>
        </w:rPr>
        <w:t>Suppliers shall submit PO copy of similar project executed in past.</w:t>
      </w:r>
    </w:p>
    <w:p w14:paraId="49E37FB4" w14:textId="77777777" w:rsidR="004272FE"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sidRPr="00605DF8">
        <w:rPr>
          <w:rFonts w:ascii="Cambria" w:hAnsi="Cambria" w:cs="Calibri"/>
          <w:color w:val="auto"/>
          <w:szCs w:val="22"/>
        </w:rPr>
        <w:t>Organization Details including detailed information of organization structure, list of key manpower, equipment resource capabilities, factory setup, service centres</w:t>
      </w:r>
      <w:r>
        <w:rPr>
          <w:rFonts w:ascii="Cambria" w:hAnsi="Cambria" w:cs="Calibri"/>
          <w:color w:val="auto"/>
          <w:szCs w:val="22"/>
        </w:rPr>
        <w:t xml:space="preserve">, </w:t>
      </w:r>
      <w:r w:rsidRPr="00605DF8">
        <w:rPr>
          <w:rFonts w:ascii="Cambria" w:hAnsi="Cambria" w:cs="Calibri"/>
          <w:color w:val="auto"/>
          <w:szCs w:val="22"/>
        </w:rPr>
        <w:t xml:space="preserve">capabilities of conducting </w:t>
      </w:r>
      <w:r>
        <w:rPr>
          <w:rFonts w:ascii="Cambria" w:hAnsi="Cambria" w:cs="Calibri"/>
          <w:color w:val="auto"/>
          <w:szCs w:val="22"/>
        </w:rPr>
        <w:t>testing</w:t>
      </w:r>
      <w:r w:rsidRPr="00605DF8">
        <w:rPr>
          <w:rFonts w:ascii="Cambria" w:hAnsi="Cambria" w:cs="Calibri"/>
          <w:color w:val="auto"/>
          <w:szCs w:val="22"/>
        </w:rPr>
        <w:t>.</w:t>
      </w:r>
    </w:p>
    <w:p w14:paraId="37A6F601" w14:textId="77777777" w:rsidR="004272FE"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 xml:space="preserve">Supplier established HSE Management System </w:t>
      </w:r>
      <w:r w:rsidRPr="00DD53F7">
        <w:rPr>
          <w:rFonts w:ascii="Cambria" w:hAnsi="Cambria" w:cs="Calibri"/>
          <w:color w:val="auto"/>
          <w:szCs w:val="22"/>
        </w:rPr>
        <w:t>inclusive but not limited to HSE Policy, HSE Manuals and Procedures, H</w:t>
      </w:r>
      <w:r>
        <w:rPr>
          <w:rFonts w:ascii="Cambria" w:hAnsi="Cambria" w:cs="Calibri"/>
          <w:color w:val="auto"/>
          <w:szCs w:val="22"/>
        </w:rPr>
        <w:t>SE Objectives, HSE organogram.</w:t>
      </w:r>
    </w:p>
    <w:p w14:paraId="1B38677F" w14:textId="77777777" w:rsidR="004272FE" w:rsidRPr="00DD53F7"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sidRPr="00DD53F7">
        <w:rPr>
          <w:rFonts w:ascii="Cambria" w:hAnsi="Cambria" w:cs="Calibri"/>
          <w:color w:val="auto"/>
          <w:szCs w:val="22"/>
        </w:rPr>
        <w:t>LTI statistics for past 3 years</w:t>
      </w:r>
    </w:p>
    <w:p w14:paraId="5DE73286" w14:textId="77777777" w:rsidR="004272FE" w:rsidRPr="00DD53F7"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sidRPr="00DD53F7">
        <w:rPr>
          <w:rFonts w:ascii="Cambria" w:hAnsi="Cambria" w:cs="Calibri"/>
          <w:color w:val="auto"/>
          <w:szCs w:val="22"/>
        </w:rPr>
        <w:t>Valid and Latest Safety, Environment and Occupational Health certifications (ISO, OSHAS, API or Equivalent etc.)</w:t>
      </w:r>
    </w:p>
    <w:p w14:paraId="098A3226" w14:textId="77777777" w:rsidR="004272FE" w:rsidRPr="00516272"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sidRPr="00516272">
        <w:rPr>
          <w:rFonts w:ascii="Cambria" w:hAnsi="Cambria" w:cs="Calibri"/>
          <w:color w:val="auto"/>
          <w:szCs w:val="22"/>
        </w:rPr>
        <w:t>Vendor’s established accredited QMS system: Certificate, QMS Manual, QA/QC Policy, Plan and Procedures.</w:t>
      </w:r>
    </w:p>
    <w:p w14:paraId="15B28BC3" w14:textId="77777777" w:rsidR="004272FE" w:rsidRPr="00DD53F7" w:rsidRDefault="004272FE" w:rsidP="004272FE">
      <w:pPr>
        <w:numPr>
          <w:ilvl w:val="0"/>
          <w:numId w:val="5"/>
        </w:numPr>
        <w:tabs>
          <w:tab w:val="left" w:pos="630"/>
        </w:tabs>
        <w:autoSpaceDE w:val="0"/>
        <w:autoSpaceDN w:val="0"/>
        <w:adjustRightInd w:val="0"/>
        <w:jc w:val="both"/>
        <w:rPr>
          <w:rFonts w:ascii="Cambria" w:hAnsi="Cambria" w:cs="Calibri"/>
          <w:color w:val="auto"/>
          <w:szCs w:val="22"/>
        </w:rPr>
      </w:pPr>
      <w:r w:rsidRPr="00516272">
        <w:rPr>
          <w:rFonts w:ascii="Cambria" w:hAnsi="Cambria" w:cs="Calibri"/>
          <w:color w:val="auto"/>
          <w:szCs w:val="22"/>
        </w:rPr>
        <w:t>Valid ISO 9001:2015 or Equivalent ce</w:t>
      </w:r>
      <w:r>
        <w:rPr>
          <w:rFonts w:ascii="Cambria" w:hAnsi="Cambria" w:cs="Calibri"/>
          <w:color w:val="auto"/>
          <w:szCs w:val="22"/>
        </w:rPr>
        <w:t>rtificate for the intended scope.</w:t>
      </w:r>
    </w:p>
    <w:p w14:paraId="7DA874E7" w14:textId="77777777" w:rsidR="004272FE" w:rsidRPr="000F3CAD" w:rsidRDefault="004272FE" w:rsidP="004272FE">
      <w:pPr>
        <w:numPr>
          <w:ilvl w:val="0"/>
          <w:numId w:val="7"/>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0F3CAD">
        <w:rPr>
          <w:rFonts w:ascii="Cambria" w:hAnsi="Cambria" w:cs="Calibri"/>
          <w:color w:val="auto"/>
          <w:szCs w:val="22"/>
        </w:rPr>
        <w:t>Company's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14:paraId="4299C38B" w14:textId="77777777" w:rsidR="004272FE" w:rsidRPr="000F3CAD" w:rsidRDefault="004272FE" w:rsidP="004272FE">
      <w:pPr>
        <w:tabs>
          <w:tab w:val="left" w:pos="630"/>
        </w:tabs>
        <w:autoSpaceDE w:val="0"/>
        <w:autoSpaceDN w:val="0"/>
        <w:adjustRightInd w:val="0"/>
        <w:ind w:left="615"/>
        <w:jc w:val="both"/>
        <w:rPr>
          <w:rFonts w:ascii="Cambria" w:hAnsi="Cambria" w:cs="Calibri"/>
          <w:color w:val="auto"/>
          <w:szCs w:val="22"/>
          <w:lang w:bidi="hi"/>
        </w:rPr>
      </w:pPr>
    </w:p>
    <w:p w14:paraId="1FEF8EA1" w14:textId="77777777" w:rsidR="004272FE" w:rsidRPr="000F3CAD" w:rsidRDefault="004272FE" w:rsidP="004272FE">
      <w:pPr>
        <w:tabs>
          <w:tab w:val="left" w:pos="1418"/>
          <w:tab w:val="left" w:pos="1701"/>
          <w:tab w:val="right" w:pos="9185"/>
          <w:tab w:val="right" w:pos="9214"/>
        </w:tabs>
        <w:ind w:left="720"/>
        <w:jc w:val="both"/>
        <w:rPr>
          <w:rFonts w:ascii="Cambria" w:hAnsi="Cambria" w:cs="Calibri"/>
          <w:color w:val="auto"/>
          <w:szCs w:val="22"/>
          <w:lang w:bidi="hi"/>
        </w:rPr>
      </w:pPr>
      <w:r w:rsidRPr="000F3CAD">
        <w:rPr>
          <w:rFonts w:ascii="Cambria" w:hAnsi="Cambria" w:cs="Calibri"/>
          <w:color w:val="auto"/>
          <w:szCs w:val="22"/>
          <w:lang w:bidi="hi"/>
        </w:rPr>
        <w:t xml:space="preserve">Also, note - </w:t>
      </w:r>
    </w:p>
    <w:p w14:paraId="443F75E1" w14:textId="77777777" w:rsidR="004272FE" w:rsidRPr="000F3CAD" w:rsidRDefault="004272FE" w:rsidP="004272FE">
      <w:pPr>
        <w:numPr>
          <w:ilvl w:val="0"/>
          <w:numId w:val="7"/>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0F3CAD">
        <w:rPr>
          <w:rFonts w:ascii="Cambria" w:hAnsi="Cambria" w:cs="Calibri"/>
          <w:color w:val="auto"/>
          <w:szCs w:val="22"/>
        </w:rPr>
        <w:t xml:space="preserve">Standalone financials of the bidding entity will only be considered, Where the bidding entity is unable to meet the financial evaluation criteria, Parent/ Holding co. audited financials can be considered, subject to: </w:t>
      </w:r>
    </w:p>
    <w:p w14:paraId="519A05D7" w14:textId="77777777" w:rsidR="004272FE" w:rsidRPr="000F3CAD" w:rsidRDefault="004272FE" w:rsidP="004272FE">
      <w:pPr>
        <w:numPr>
          <w:ilvl w:val="0"/>
          <w:numId w:val="9"/>
        </w:numPr>
        <w:tabs>
          <w:tab w:val="left" w:pos="630"/>
          <w:tab w:val="left" w:pos="1350"/>
          <w:tab w:val="left" w:pos="1620"/>
        </w:tabs>
        <w:autoSpaceDE w:val="0"/>
        <w:autoSpaceDN w:val="0"/>
        <w:adjustRightInd w:val="0"/>
        <w:ind w:left="1701" w:hanging="351"/>
        <w:jc w:val="both"/>
        <w:rPr>
          <w:rFonts w:ascii="Cambria" w:hAnsi="Cambria" w:cs="Calibri"/>
          <w:color w:val="auto"/>
          <w:szCs w:val="22"/>
        </w:rPr>
      </w:pPr>
      <w:r>
        <w:rPr>
          <w:rFonts w:ascii="Cambria" w:hAnsi="Cambria" w:cs="Calibri"/>
          <w:color w:val="auto"/>
          <w:szCs w:val="22"/>
        </w:rPr>
        <w:t xml:space="preserve"> </w:t>
      </w:r>
      <w:r w:rsidRPr="000F3CAD">
        <w:rPr>
          <w:rFonts w:ascii="Cambria" w:hAnsi="Cambria" w:cs="Calibri"/>
          <w:color w:val="auto"/>
          <w:szCs w:val="22"/>
        </w:rPr>
        <w:t>Submission of financial guarantee in the form of 10% Bank Guarantee of Contract value, as per the format enclosed.</w:t>
      </w:r>
    </w:p>
    <w:p w14:paraId="1CDEDF6D" w14:textId="77777777" w:rsidR="004272FE" w:rsidRPr="000F3CAD" w:rsidRDefault="004272FE" w:rsidP="004272FE">
      <w:pPr>
        <w:tabs>
          <w:tab w:val="left" w:pos="630"/>
          <w:tab w:val="left" w:pos="1620"/>
        </w:tabs>
        <w:autoSpaceDE w:val="0"/>
        <w:autoSpaceDN w:val="0"/>
        <w:adjustRightInd w:val="0"/>
        <w:ind w:left="1350"/>
        <w:jc w:val="both"/>
        <w:rPr>
          <w:rFonts w:ascii="Cambria" w:hAnsi="Cambria" w:cs="Calibri"/>
          <w:color w:val="auto"/>
          <w:szCs w:val="22"/>
        </w:rPr>
      </w:pPr>
      <w:r>
        <w:rPr>
          <w:rFonts w:ascii="Cambria" w:hAnsi="Cambria" w:cs="Calibri"/>
          <w:color w:val="auto"/>
          <w:szCs w:val="22"/>
        </w:rPr>
        <w:t xml:space="preserve">(ii) </w:t>
      </w:r>
      <w:r w:rsidRPr="000F3CAD">
        <w:rPr>
          <w:rFonts w:ascii="Cambria" w:hAnsi="Cambria" w:cs="Calibri"/>
          <w:color w:val="auto"/>
          <w:szCs w:val="22"/>
        </w:rPr>
        <w:t xml:space="preserve">Commitment letter from Parent/ Holding Co. to provide financial support to the </w:t>
      </w:r>
      <w:r>
        <w:rPr>
          <w:rFonts w:ascii="Cambria" w:hAnsi="Cambria" w:cs="Calibri"/>
          <w:color w:val="auto"/>
          <w:szCs w:val="22"/>
        </w:rPr>
        <w:t>bidding</w:t>
      </w:r>
      <w:r w:rsidRPr="000F3CAD">
        <w:rPr>
          <w:rFonts w:ascii="Cambria" w:hAnsi="Cambria" w:cs="Calibri"/>
          <w:color w:val="auto"/>
          <w:szCs w:val="22"/>
        </w:rPr>
        <w:t xml:space="preserve"> entity, as per the format enclosed.</w:t>
      </w:r>
    </w:p>
    <w:p w14:paraId="2D2E15AA" w14:textId="77777777" w:rsidR="004272FE" w:rsidRPr="00591337"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for required value. </w:t>
      </w:r>
    </w:p>
    <w:p w14:paraId="5C01F605" w14:textId="77777777" w:rsidR="004272FE" w:rsidRPr="000F3CAD"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In case of multiple related bidding entities for a particular tender, only one bidding entity as confirmed by the multiple bidders will be considered.</w:t>
      </w:r>
    </w:p>
    <w:p w14:paraId="524800CC" w14:textId="77777777" w:rsidR="004272FE" w:rsidRPr="000F3CAD"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Evaluation will be done only on the basis of the published annual reports / audited financials containing Auditor’s report, Balance sheet, Profit &amp; Loss a/c and Notes to Accounts.</w:t>
      </w:r>
    </w:p>
    <w:p w14:paraId="2F5369ED" w14:textId="77777777" w:rsidR="004272FE" w:rsidRPr="000F3CAD"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Latest audited financial statement should not be older than 12 months on the date of EOI.</w:t>
      </w:r>
    </w:p>
    <w:p w14:paraId="2E137E71" w14:textId="77777777" w:rsidR="004272FE" w:rsidRPr="000F3CAD"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3CE68A9F" w14:textId="77777777" w:rsidR="004272FE" w:rsidRPr="000F3CAD" w:rsidRDefault="004272FE" w:rsidP="004272FE">
      <w:pPr>
        <w:numPr>
          <w:ilvl w:val="0"/>
          <w:numId w:val="6"/>
        </w:numPr>
        <w:tabs>
          <w:tab w:val="left" w:pos="630"/>
        </w:tabs>
        <w:autoSpaceDE w:val="0"/>
        <w:autoSpaceDN w:val="0"/>
        <w:adjustRightInd w:val="0"/>
        <w:jc w:val="both"/>
        <w:rPr>
          <w:rFonts w:ascii="Cambria" w:hAnsi="Cambria" w:cs="Calibri"/>
          <w:color w:val="auto"/>
          <w:szCs w:val="22"/>
        </w:rPr>
      </w:pPr>
      <w:r w:rsidRPr="000F3CAD">
        <w:rPr>
          <w:rFonts w:ascii="Cambria" w:hAnsi="Cambria" w:cs="Calibri"/>
          <w:color w:val="auto"/>
          <w:szCs w:val="22"/>
        </w:rPr>
        <w:t>All qualifications and exceptions brought out in Auditor’s report and Notes to Accounts would be factored in while undertaking financial evaluation.</w:t>
      </w:r>
    </w:p>
    <w:p w14:paraId="7360B9DE" w14:textId="77777777" w:rsidR="004272FE" w:rsidRPr="00DD53F7" w:rsidRDefault="004272FE" w:rsidP="004272FE">
      <w:pPr>
        <w:tabs>
          <w:tab w:val="left" w:pos="630"/>
        </w:tabs>
        <w:autoSpaceDE w:val="0"/>
        <w:autoSpaceDN w:val="0"/>
        <w:adjustRightInd w:val="0"/>
        <w:ind w:left="1335"/>
        <w:jc w:val="both"/>
        <w:rPr>
          <w:rFonts w:ascii="Cambria" w:hAnsi="Cambria" w:cs="Calibri"/>
          <w:color w:val="auto"/>
          <w:szCs w:val="22"/>
          <w:highlight w:val="cyan"/>
        </w:rPr>
      </w:pPr>
    </w:p>
    <w:p w14:paraId="60C77E1F" w14:textId="77777777" w:rsidR="004272FE" w:rsidRPr="00E86E4A" w:rsidRDefault="004272FE" w:rsidP="004272FE">
      <w:pPr>
        <w:autoSpaceDE w:val="0"/>
        <w:autoSpaceDN w:val="0"/>
        <w:adjustRightInd w:val="0"/>
        <w:jc w:val="both"/>
        <w:rPr>
          <w:rFonts w:ascii="Cambria" w:hAnsi="Cambria" w:cs="Calibri"/>
          <w:color w:val="auto"/>
          <w:szCs w:val="22"/>
          <w:lang w:bidi="hi"/>
        </w:rPr>
      </w:pPr>
    </w:p>
    <w:p w14:paraId="603E4A7E" w14:textId="77777777" w:rsidR="004272FE" w:rsidRPr="00E86E4A" w:rsidRDefault="004272FE" w:rsidP="004272FE">
      <w:pPr>
        <w:ind w:left="360"/>
        <w:jc w:val="both"/>
        <w:rPr>
          <w:rFonts w:ascii="Cambria" w:hAnsi="Cambria" w:cs="Calibri"/>
          <w:color w:val="auto"/>
          <w:szCs w:val="22"/>
          <w:lang w:bidi="hi"/>
        </w:rPr>
      </w:pPr>
      <w:r w:rsidRPr="00E86E4A">
        <w:rPr>
          <w:rFonts w:ascii="Cambria" w:hAnsi="Cambria" w:cs="Calibri"/>
          <w:color w:val="auto"/>
          <w:szCs w:val="22"/>
          <w:lang w:bidi="hi"/>
        </w:rPr>
        <w:lastRenderedPageBreak/>
        <w:t>The interested Vendors should evince interest to participate in the Expression of Interest by clicking on the “</w:t>
      </w:r>
      <w:r w:rsidRPr="00E86E4A">
        <w:rPr>
          <w:rFonts w:ascii="Cambria" w:hAnsi="Cambria" w:cs="Calibri"/>
          <w:b/>
          <w:color w:val="auto"/>
          <w:szCs w:val="22"/>
          <w:u w:val="single"/>
          <w:lang w:bidi="hi"/>
        </w:rPr>
        <w:t>Evince Interest</w:t>
      </w:r>
      <w:r w:rsidRPr="00E86E4A">
        <w:rPr>
          <w:rFonts w:ascii="Cambria" w:hAnsi="Cambria" w:cs="Calibri"/>
          <w:color w:val="auto"/>
          <w:szCs w:val="22"/>
          <w:lang w:bidi="hi"/>
        </w:rPr>
        <w:t xml:space="preserve">” link for the corresponding EOI listing on the Cairn website i.e. </w:t>
      </w:r>
      <w:hyperlink r:id="rId7" w:history="1">
        <w:r w:rsidRPr="00E86E4A">
          <w:rPr>
            <w:rFonts w:ascii="Cambria" w:hAnsi="Cambria" w:cs="Calibri"/>
            <w:b/>
            <w:color w:val="auto"/>
            <w:szCs w:val="22"/>
            <w:u w:val="single"/>
            <w:lang w:bidi="hi"/>
          </w:rPr>
          <w:t>http://www.cairnindia.com</w:t>
        </w:r>
      </w:hyperlink>
      <w:r w:rsidRPr="00E86E4A">
        <w:rPr>
          <w:rFonts w:ascii="Cambria" w:hAnsi="Cambria" w:cs="Calibri"/>
          <w:color w:val="auto"/>
          <w:szCs w:val="22"/>
          <w:lang w:bidi="hi"/>
        </w:rPr>
        <w:t xml:space="preserve"> and submit their contact details online. Further to this, interested Vendors would be invited to submit their response via Smart Source (Cairn’s e Sourcing Platform). The Vendors would be requested, as a minimum, to submit the above documents and details for prequalification via Smart Source within Fourteen (14) days of publication of this EOI.</w:t>
      </w:r>
    </w:p>
    <w:p w14:paraId="50BCBECE" w14:textId="77777777" w:rsidR="004272FE" w:rsidRPr="00E86E4A" w:rsidRDefault="004272FE" w:rsidP="004272FE">
      <w:pPr>
        <w:tabs>
          <w:tab w:val="left" w:pos="630"/>
        </w:tabs>
        <w:autoSpaceDE w:val="0"/>
        <w:autoSpaceDN w:val="0"/>
        <w:adjustRightInd w:val="0"/>
        <w:ind w:left="615"/>
        <w:jc w:val="both"/>
        <w:rPr>
          <w:rFonts w:ascii="Cambria" w:hAnsi="Cambria" w:cs="Calibri"/>
          <w:color w:val="auto"/>
          <w:szCs w:val="22"/>
          <w:lang w:bidi="hi"/>
        </w:rPr>
      </w:pPr>
    </w:p>
    <w:p w14:paraId="73F0C86A" w14:textId="77777777" w:rsidR="004272FE" w:rsidRPr="00E86E4A" w:rsidRDefault="004272FE" w:rsidP="004272FE">
      <w:pPr>
        <w:tabs>
          <w:tab w:val="left" w:pos="630"/>
        </w:tabs>
        <w:autoSpaceDE w:val="0"/>
        <w:autoSpaceDN w:val="0"/>
        <w:adjustRightInd w:val="0"/>
        <w:ind w:left="615"/>
        <w:jc w:val="both"/>
        <w:rPr>
          <w:rFonts w:ascii="Calibri" w:hAnsi="Calibri" w:cs="Calibri"/>
          <w:color w:val="auto"/>
          <w:szCs w:val="22"/>
          <w:lang w:bidi="hi"/>
        </w:rPr>
      </w:pPr>
    </w:p>
    <w:p w14:paraId="774573B4" w14:textId="77777777" w:rsidR="004272FE" w:rsidRPr="00E86E4A" w:rsidRDefault="004272FE" w:rsidP="004272FE">
      <w:pPr>
        <w:tabs>
          <w:tab w:val="left" w:pos="900"/>
        </w:tabs>
        <w:autoSpaceDE w:val="0"/>
        <w:autoSpaceDN w:val="0"/>
        <w:adjustRightInd w:val="0"/>
        <w:ind w:left="900"/>
        <w:jc w:val="both"/>
        <w:rPr>
          <w:rFonts w:ascii="Calibri" w:hAnsi="Calibri" w:cs="Calibri"/>
          <w:color w:val="auto"/>
          <w:szCs w:val="22"/>
        </w:rPr>
      </w:pPr>
    </w:p>
    <w:p w14:paraId="606B103A" w14:textId="77777777" w:rsidR="00CD1B39" w:rsidRPr="00AC1E74" w:rsidRDefault="00CD1B39" w:rsidP="00CD1B39">
      <w:pPr>
        <w:ind w:left="360"/>
        <w:jc w:val="both"/>
        <w:rPr>
          <w:rFonts w:asciiTheme="majorHAnsi" w:eastAsiaTheme="minorHAnsi" w:hAnsiTheme="majorHAnsi" w:cs="Arial"/>
          <w:color w:val="auto"/>
          <w:szCs w:val="22"/>
          <w:lang w:val="en-IN"/>
        </w:rPr>
      </w:pPr>
    </w:p>
    <w:p w14:paraId="065A6C72" w14:textId="77777777" w:rsidR="006075CE" w:rsidRDefault="006075CE"/>
    <w:sectPr w:rsidR="006075CE" w:rsidSect="00FE46DD">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A8B3B" w14:textId="77777777" w:rsidR="00261D53" w:rsidRDefault="00261D53" w:rsidP="00CD1B39">
      <w:r>
        <w:separator/>
      </w:r>
    </w:p>
  </w:endnote>
  <w:endnote w:type="continuationSeparator" w:id="0">
    <w:p w14:paraId="361E8D63" w14:textId="77777777" w:rsidR="00261D53" w:rsidRDefault="00261D53"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3EEF9" w14:textId="77777777" w:rsidR="00442D52" w:rsidRDefault="0044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C894" w14:textId="4191EE12" w:rsidR="00044A53" w:rsidRPr="00846AE8" w:rsidRDefault="004272FE">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166703F4" wp14:editId="0E426931">
              <wp:simplePos x="0" y="0"/>
              <wp:positionH relativeFrom="page">
                <wp:posOffset>0</wp:posOffset>
              </wp:positionH>
              <wp:positionV relativeFrom="page">
                <wp:posOffset>9601200</wp:posOffset>
              </wp:positionV>
              <wp:extent cx="7772400" cy="266700"/>
              <wp:effectExtent l="0" t="0" r="0" b="0"/>
              <wp:wrapNone/>
              <wp:docPr id="5" name="MSIPCM708f416880dd33c0be361eaa"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3F1A3" w14:textId="55E0CC65" w:rsidR="004272FE" w:rsidRPr="004272FE" w:rsidRDefault="004272FE" w:rsidP="004272FE">
                          <w:pPr>
                            <w:jc w:val="center"/>
                            <w:rPr>
                              <w:rFonts w:ascii="Calibri" w:hAnsi="Calibri" w:cs="Calibri"/>
                              <w:color w:val="737373"/>
                              <w:sz w:val="12"/>
                            </w:rPr>
                          </w:pPr>
                          <w:r w:rsidRPr="004272FE">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6703F4" id="_x0000_t202" coordsize="21600,21600" o:spt="202" path="m,l,21600r21600,l21600,xe">
              <v:stroke joinstyle="miter"/>
              <v:path gradientshapeok="t" o:connecttype="rect"/>
            </v:shapetype>
            <v:shape id="MSIPCM708f416880dd33c0be361eaa"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" o:allowincell="f" filled="f" stroked="f" strokeweight=".5pt">
              <v:textbox inset=",0,,0">
                <w:txbxContent>
                  <w:p w14:paraId="7C33F1A3" w14:textId="55E0CC65" w:rsidR="004272FE" w:rsidRPr="004272FE" w:rsidRDefault="004272FE" w:rsidP="004272FE">
                    <w:pPr>
                      <w:jc w:val="center"/>
                      <w:rPr>
                        <w:rFonts w:ascii="Calibri" w:hAnsi="Calibri" w:cs="Calibri"/>
                        <w:color w:val="737373"/>
                        <w:sz w:val="12"/>
                      </w:rPr>
                    </w:pPr>
                    <w:r w:rsidRPr="004272FE">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FDD3" w14:textId="77777777" w:rsidR="00442D52" w:rsidRDefault="0044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3B418" w14:textId="77777777" w:rsidR="00261D53" w:rsidRDefault="00261D53" w:rsidP="00CD1B39">
      <w:r>
        <w:separator/>
      </w:r>
    </w:p>
  </w:footnote>
  <w:footnote w:type="continuationSeparator" w:id="0">
    <w:p w14:paraId="673C77DF" w14:textId="77777777" w:rsidR="00261D53" w:rsidRDefault="00261D53"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0A84E" w14:textId="77777777" w:rsidR="00442D52" w:rsidRDefault="0044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F7B1"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642379B5" wp14:editId="4000EE25">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7EBCCFAA" wp14:editId="2C779EE0">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1A451AD8"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7DA1" w14:textId="77777777" w:rsidR="00442D52" w:rsidRDefault="0044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7"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137F5E"/>
    <w:rsid w:val="00261D53"/>
    <w:rsid w:val="004272FE"/>
    <w:rsid w:val="00442D52"/>
    <w:rsid w:val="00480BD4"/>
    <w:rsid w:val="00546E58"/>
    <w:rsid w:val="006075CE"/>
    <w:rsid w:val="00CD1B39"/>
    <w:rsid w:val="00E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41472"/>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airnindia.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2021-05-05T18:30:00+00:00</StartDate>
    <EvinceInterestURL xmlns="78439af1-28f1-4ee5-8d5a-af7253c94f97" xsi:nil="true"/>
    <PublisherEmailID xmlns="6b02143d-c076-4788-b315-b1d4ff2ff2ad">Manjushree.Samanta@cairnindia.com;Punit.Sinojiya@cairnindia.com;Askand.Kumar@cairnindia.com</PublisherEmailID>
    <Status xmlns="6b02143d-c076-4788-b315-b1d4ff2ff2ad">Published</Status>
    <PublisherName xmlns="6b02143d-c076-4788-b315-b1d4ff2ff2ad">Manjushree Samantha;Punit Sinojiya;Askand Kumar</PublisherName>
    <EndDate xmlns="6b02143d-c076-4788-b315-b1d4ff2ff2ad">2021-05-21T18:25:00+00:00</EndDate>
  </documentManagement>
</p:properties>
</file>

<file path=customXml/itemProps1.xml><?xml version="1.0" encoding="utf-8"?>
<ds:datastoreItem xmlns:ds="http://schemas.openxmlformats.org/officeDocument/2006/customXml" ds:itemID="{274A2DA3-FF0D-46A4-8A26-F7F4CD79454A}"/>
</file>

<file path=customXml/itemProps2.xml><?xml version="1.0" encoding="utf-8"?>
<ds:datastoreItem xmlns:ds="http://schemas.openxmlformats.org/officeDocument/2006/customXml" ds:itemID="{996ACAD8-F778-4D36-B226-5A8B6D9A67DC}"/>
</file>

<file path=customXml/itemProps3.xml><?xml version="1.0" encoding="utf-8"?>
<ds:datastoreItem xmlns:ds="http://schemas.openxmlformats.org/officeDocument/2006/customXml" ds:itemID="{8888698E-795D-416A-AE15-F5FD5865E342}"/>
</file>

<file path=docProps/app.xml><?xml version="1.0" encoding="utf-8"?>
<Properties xmlns="http://schemas.openxmlformats.org/officeDocument/2006/extended-properties" xmlns:vt="http://schemas.openxmlformats.org/officeDocument/2006/docPropsVTypes">
  <Template>Normal</Template>
  <TotalTime>5</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INTERNATIONAL COMPETETIVE BIDDING (ICB) BASIS FOR SUPPLY OF GAS ENGINE DRIVEN MULTISTAGE CENTRIFUGAL PUMP AT CB/OS-2 BLOCK </dc:title>
  <dc:subject/>
  <dc:creator>Aarthi Kumar</dc:creator>
  <cp:keywords/>
  <dc:description/>
  <cp:lastModifiedBy>Askand Kumar</cp:lastModifiedBy>
  <cp:revision>5</cp:revision>
  <dcterms:created xsi:type="dcterms:W3CDTF">2019-08-14T03:37:00Z</dcterms:created>
  <dcterms:modified xsi:type="dcterms:W3CDTF">2021-05-06T08:27:00Z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11708@cairnindia.com</vt:lpwstr>
  </property>
  <property fmtid="{D5CDD505-2E9C-101B-9397-08002B2CF9AE}" pid="5" name="MSIP_Label_d8018b01-d6ca-4215-a70f-0f507ff65fa4_SetDate">
    <vt:lpwstr>2021-05-06T05:17:25.9849554Z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f2b2aa56-b7a2-4300-a250-019e5472c778</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11708@cairnindia.com</vt:lpwstr>
  </property>
  <property fmtid="{D5CDD505-2E9C-101B-9397-08002B2CF9AE}" pid="13" name="MSIP_Label_1a837f0f-bc33-47ca-8126-9d7bb0fbe56f_SetDate">
    <vt:lpwstr>2021-05-06T05:17:25.9849554Z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f2b2aa56-b7a2-4300-a250-019e5472c778</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